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71" w:rsidRDefault="00D62E71" w:rsidP="00D62E71">
      <w:pPr>
        <w:jc w:val="center"/>
        <w:rPr>
          <w:rFonts w:ascii="华文中宋" w:eastAsia="华文中宋" w:cs="宋体"/>
          <w:b/>
          <w:bCs/>
          <w:color w:val="000000"/>
          <w:sz w:val="52"/>
          <w:szCs w:val="52"/>
        </w:rPr>
      </w:pPr>
      <w:r>
        <w:rPr>
          <w:rFonts w:ascii="华文中宋" w:eastAsia="华文中宋" w:cs="宋体" w:hint="eastAsia"/>
          <w:b/>
          <w:bCs/>
          <w:color w:val="000000"/>
          <w:sz w:val="52"/>
          <w:szCs w:val="52"/>
        </w:rPr>
        <w:t>成都市哲学社会科学重点研究基地</w:t>
      </w:r>
    </w:p>
    <w:p w:rsidR="00D62E71" w:rsidRDefault="00D62E71" w:rsidP="00D62E71">
      <w:pPr>
        <w:jc w:val="center"/>
        <w:rPr>
          <w:rFonts w:ascii="华文中宋" w:eastAsia="华文中宋" w:cs="宋体"/>
          <w:b/>
          <w:bCs/>
          <w:color w:val="000000"/>
          <w:sz w:val="52"/>
          <w:szCs w:val="52"/>
        </w:rPr>
      </w:pPr>
      <w:r>
        <w:rPr>
          <w:rFonts w:ascii="华文中宋" w:eastAsia="华文中宋" w:cs="宋体" w:hint="eastAsia"/>
          <w:b/>
          <w:bCs/>
          <w:color w:val="000000"/>
          <w:sz w:val="52"/>
          <w:szCs w:val="52"/>
        </w:rPr>
        <w:t>成都市工匠文化研究中心</w:t>
      </w:r>
    </w:p>
    <w:p w:rsidR="00D62E71" w:rsidRDefault="00D62E71" w:rsidP="00D62E71">
      <w:pPr>
        <w:jc w:val="center"/>
        <w:rPr>
          <w:rFonts w:ascii="华文中宋" w:eastAsia="华文中宋" w:cs="宋体"/>
          <w:b/>
          <w:bCs/>
          <w:color w:val="000000"/>
          <w:sz w:val="52"/>
          <w:szCs w:val="52"/>
        </w:rPr>
      </w:pPr>
      <w:r>
        <w:rPr>
          <w:rFonts w:ascii="华文中宋" w:eastAsia="华文中宋" w:cs="宋体" w:hint="eastAsia"/>
          <w:b/>
          <w:bCs/>
          <w:color w:val="000000"/>
          <w:sz w:val="52"/>
          <w:szCs w:val="52"/>
        </w:rPr>
        <w:t>2018年度课题指南</w:t>
      </w:r>
    </w:p>
    <w:p w:rsidR="00D62E71" w:rsidRDefault="00D62E71" w:rsidP="00D62E71">
      <w:pPr>
        <w:jc w:val="center"/>
        <w:rPr>
          <w:rFonts w:ascii="华文中宋" w:eastAsia="华文中宋" w:cs="宋体"/>
          <w:b/>
          <w:bCs/>
          <w:color w:val="000000"/>
          <w:sz w:val="36"/>
          <w:szCs w:val="36"/>
        </w:rPr>
      </w:pPr>
    </w:p>
    <w:p w:rsidR="00D62E71" w:rsidRDefault="00D62E71" w:rsidP="00D62E71">
      <w:pPr>
        <w:jc w:val="center"/>
        <w:rPr>
          <w:rFonts w:ascii="黑体" w:eastAsia="黑体" w:cs="宋体"/>
          <w:b/>
          <w:bCs/>
          <w:color w:val="000000"/>
          <w:sz w:val="44"/>
          <w:szCs w:val="44"/>
        </w:rPr>
      </w:pPr>
    </w:p>
    <w:p w:rsidR="00D62E71" w:rsidRDefault="00D62E71" w:rsidP="00D62E71">
      <w:pPr>
        <w:jc w:val="center"/>
        <w:rPr>
          <w:rFonts w:ascii="黑体" w:eastAsia="黑体" w:cs="宋体"/>
          <w:b/>
          <w:bCs/>
          <w:color w:val="000000"/>
          <w:sz w:val="44"/>
          <w:szCs w:val="44"/>
        </w:rPr>
      </w:pPr>
    </w:p>
    <w:p w:rsidR="00D62E71" w:rsidRDefault="00D62E71" w:rsidP="00D62E71">
      <w:pPr>
        <w:jc w:val="center"/>
        <w:rPr>
          <w:rFonts w:ascii="黑体" w:eastAsia="黑体" w:cs="宋体"/>
          <w:b/>
          <w:bCs/>
          <w:color w:val="000000"/>
          <w:sz w:val="44"/>
          <w:szCs w:val="44"/>
        </w:rPr>
      </w:pPr>
    </w:p>
    <w:p w:rsidR="00D62E71" w:rsidRDefault="00D62E71" w:rsidP="00D62E71">
      <w:pPr>
        <w:jc w:val="center"/>
        <w:rPr>
          <w:rFonts w:ascii="黑体" w:eastAsia="黑体" w:cs="宋体"/>
          <w:b/>
          <w:bCs/>
          <w:color w:val="000000"/>
          <w:sz w:val="44"/>
          <w:szCs w:val="44"/>
        </w:rPr>
      </w:pPr>
    </w:p>
    <w:p w:rsidR="00D62E71" w:rsidRDefault="00D62E71" w:rsidP="00D62E71">
      <w:pPr>
        <w:jc w:val="center"/>
        <w:rPr>
          <w:rFonts w:ascii="黑体" w:eastAsia="黑体" w:cs="宋体"/>
          <w:b/>
          <w:bCs/>
          <w:color w:val="000000"/>
          <w:sz w:val="44"/>
          <w:szCs w:val="44"/>
        </w:rPr>
      </w:pPr>
    </w:p>
    <w:p w:rsidR="00D62E71" w:rsidRDefault="00D62E71" w:rsidP="00D62E71">
      <w:pPr>
        <w:jc w:val="center"/>
        <w:rPr>
          <w:rFonts w:ascii="黑体" w:eastAsia="黑体" w:cs="宋体"/>
          <w:b/>
          <w:bCs/>
          <w:color w:val="000000"/>
          <w:sz w:val="44"/>
          <w:szCs w:val="44"/>
        </w:rPr>
      </w:pPr>
    </w:p>
    <w:p w:rsidR="00D62E71" w:rsidRDefault="00D62E71" w:rsidP="00D62E71">
      <w:pPr>
        <w:jc w:val="center"/>
        <w:rPr>
          <w:rFonts w:ascii="黑体" w:eastAsia="黑体" w:cs="宋体"/>
          <w:b/>
          <w:bCs/>
          <w:color w:val="000000"/>
          <w:sz w:val="44"/>
          <w:szCs w:val="44"/>
        </w:rPr>
      </w:pPr>
    </w:p>
    <w:p w:rsidR="00D62E71" w:rsidRDefault="00D62E71" w:rsidP="00D62E71">
      <w:pPr>
        <w:jc w:val="center"/>
        <w:rPr>
          <w:rFonts w:ascii="黑体" w:eastAsia="黑体" w:cs="宋体"/>
          <w:b/>
          <w:bCs/>
          <w:color w:val="000000"/>
          <w:sz w:val="44"/>
          <w:szCs w:val="44"/>
        </w:rPr>
      </w:pPr>
    </w:p>
    <w:p w:rsidR="00D62E71" w:rsidRDefault="00D62E71" w:rsidP="00D62E71">
      <w:pPr>
        <w:jc w:val="center"/>
        <w:rPr>
          <w:rFonts w:ascii="黑体" w:eastAsia="黑体" w:cs="宋体"/>
          <w:b/>
          <w:bCs/>
          <w:color w:val="000000"/>
          <w:sz w:val="44"/>
          <w:szCs w:val="44"/>
        </w:rPr>
      </w:pPr>
    </w:p>
    <w:p w:rsidR="00D62E71" w:rsidRDefault="00D62E71" w:rsidP="00D62E71">
      <w:pPr>
        <w:jc w:val="center"/>
        <w:rPr>
          <w:rFonts w:ascii="楷体_GB2312" w:eastAsia="楷体_GB2312" w:cs="宋体"/>
          <w:b/>
          <w:bCs/>
          <w:color w:val="000000"/>
          <w:sz w:val="36"/>
          <w:szCs w:val="36"/>
        </w:rPr>
      </w:pPr>
    </w:p>
    <w:p w:rsidR="00D62E71" w:rsidRDefault="00D62E71" w:rsidP="00D62E71">
      <w:pPr>
        <w:jc w:val="center"/>
        <w:rPr>
          <w:rFonts w:ascii="楷体_GB2312" w:eastAsia="楷体_GB2312" w:cs="宋体"/>
          <w:b/>
          <w:bCs/>
          <w:color w:val="000000"/>
          <w:sz w:val="36"/>
          <w:szCs w:val="36"/>
        </w:rPr>
      </w:pPr>
    </w:p>
    <w:p w:rsidR="00A51AE2" w:rsidRPr="00A51AE2" w:rsidRDefault="00A51AE2" w:rsidP="00A51AE2">
      <w:pPr>
        <w:jc w:val="center"/>
        <w:rPr>
          <w:rFonts w:ascii="楷体_GB2312" w:eastAsia="楷体_GB2312" w:cs="宋体"/>
          <w:b/>
          <w:bCs/>
          <w:color w:val="000000"/>
          <w:sz w:val="36"/>
          <w:szCs w:val="36"/>
        </w:rPr>
      </w:pPr>
      <w:r w:rsidRPr="00A51AE2">
        <w:rPr>
          <w:rFonts w:ascii="楷体_GB2312" w:eastAsia="楷体_GB2312" w:cs="宋体" w:hint="eastAsia"/>
          <w:b/>
          <w:bCs/>
          <w:color w:val="000000"/>
          <w:sz w:val="36"/>
          <w:szCs w:val="36"/>
        </w:rPr>
        <w:t>成都市哲学社会科学规划办公室</w:t>
      </w:r>
    </w:p>
    <w:p w:rsidR="00D62E71" w:rsidRDefault="00D62E71" w:rsidP="00D62E71">
      <w:pPr>
        <w:jc w:val="center"/>
        <w:rPr>
          <w:rFonts w:ascii="楷体_GB2312" w:eastAsia="楷体_GB2312" w:cs="宋体"/>
          <w:b/>
          <w:bCs/>
          <w:color w:val="000000"/>
          <w:sz w:val="36"/>
          <w:szCs w:val="36"/>
        </w:rPr>
      </w:pPr>
      <w:r>
        <w:rPr>
          <w:rFonts w:ascii="楷体_GB2312" w:eastAsia="楷体_GB2312" w:cs="宋体" w:hint="eastAsia"/>
          <w:b/>
          <w:bCs/>
          <w:color w:val="000000"/>
          <w:sz w:val="36"/>
          <w:szCs w:val="36"/>
        </w:rPr>
        <w:t>成都市工匠文化研究中心</w:t>
      </w:r>
    </w:p>
    <w:p w:rsidR="00D62E71" w:rsidRPr="00D62E71" w:rsidRDefault="00D62E71" w:rsidP="00D62E71">
      <w:pPr>
        <w:jc w:val="center"/>
        <w:rPr>
          <w:rFonts w:ascii="楷体_GB2312" w:eastAsia="楷体_GB2312" w:cs="宋体"/>
          <w:b/>
          <w:bCs/>
          <w:color w:val="000000"/>
          <w:sz w:val="36"/>
          <w:szCs w:val="36"/>
        </w:rPr>
        <w:sectPr w:rsidR="00D62E71" w:rsidRPr="00D62E71">
          <w:footerReference w:type="even" r:id="rId6"/>
          <w:footerReference w:type="default" r:id="rId7"/>
          <w:pgSz w:w="11906" w:h="16838"/>
          <w:pgMar w:top="1361" w:right="1797" w:bottom="1361" w:left="1797" w:header="851" w:footer="992" w:gutter="0"/>
          <w:pgNumType w:start="1"/>
          <w:cols w:space="720"/>
          <w:docGrid w:type="lines" w:linePitch="312"/>
        </w:sectPr>
      </w:pPr>
      <w:r>
        <w:rPr>
          <w:rFonts w:ascii="楷体_GB2312" w:eastAsia="楷体_GB2312" w:cs="宋体" w:hint="eastAsia"/>
          <w:b/>
          <w:bCs/>
          <w:color w:val="000000"/>
          <w:sz w:val="36"/>
          <w:szCs w:val="36"/>
        </w:rPr>
        <w:t>201</w:t>
      </w:r>
      <w:r>
        <w:rPr>
          <w:rFonts w:ascii="楷体_GB2312" w:eastAsia="楷体_GB2312" w:cs="宋体"/>
          <w:b/>
          <w:bCs/>
          <w:color w:val="000000"/>
          <w:sz w:val="36"/>
          <w:szCs w:val="36"/>
        </w:rPr>
        <w:t>8</w:t>
      </w:r>
      <w:r>
        <w:rPr>
          <w:rFonts w:ascii="楷体_GB2312" w:eastAsia="楷体_GB2312" w:cs="宋体" w:hint="eastAsia"/>
          <w:b/>
          <w:bCs/>
          <w:color w:val="000000"/>
          <w:sz w:val="36"/>
          <w:szCs w:val="36"/>
        </w:rPr>
        <w:t>年1</w:t>
      </w:r>
      <w:r>
        <w:rPr>
          <w:rFonts w:ascii="楷体_GB2312" w:eastAsia="楷体_GB2312" w:cs="宋体"/>
          <w:b/>
          <w:bCs/>
          <w:color w:val="000000"/>
          <w:sz w:val="36"/>
          <w:szCs w:val="36"/>
        </w:rPr>
        <w:t>1</w:t>
      </w:r>
      <w:r>
        <w:rPr>
          <w:rFonts w:ascii="楷体_GB2312" w:eastAsia="楷体_GB2312" w:cs="宋体" w:hint="eastAsia"/>
          <w:b/>
          <w:bCs/>
          <w:color w:val="000000"/>
          <w:sz w:val="36"/>
          <w:szCs w:val="36"/>
        </w:rPr>
        <w:t>月</w:t>
      </w:r>
    </w:p>
    <w:p w:rsidR="00D62E71" w:rsidRPr="00EE13B4" w:rsidRDefault="00D62E71" w:rsidP="00D62E71">
      <w:pPr>
        <w:spacing w:after="0" w:line="600" w:lineRule="exact"/>
        <w:ind w:firstLineChars="200" w:firstLine="643"/>
        <w:rPr>
          <w:rFonts w:eastAsia="黑体"/>
          <w:b/>
          <w:bCs/>
          <w:color w:val="000000"/>
          <w:sz w:val="32"/>
          <w:szCs w:val="32"/>
        </w:rPr>
      </w:pPr>
      <w:r w:rsidRPr="00EE13B4">
        <w:rPr>
          <w:rFonts w:eastAsia="黑体" w:hint="eastAsia"/>
          <w:b/>
          <w:bCs/>
          <w:color w:val="000000"/>
          <w:sz w:val="32"/>
          <w:szCs w:val="32"/>
        </w:rPr>
        <w:lastRenderedPageBreak/>
        <w:t>一、指导思想</w:t>
      </w:r>
    </w:p>
    <w:p w:rsidR="00D62E71" w:rsidRPr="005B0654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B0654">
        <w:rPr>
          <w:rFonts w:ascii="仿宋_GB2312" w:eastAsia="仿宋_GB2312" w:hAnsi="仿宋_GB2312" w:cs="仿宋_GB2312" w:hint="eastAsia"/>
          <w:sz w:val="32"/>
          <w:szCs w:val="32"/>
        </w:rPr>
        <w:t>全面贯彻落实党的</w:t>
      </w:r>
      <w:r>
        <w:rPr>
          <w:rFonts w:ascii="仿宋_GB2312" w:eastAsia="仿宋_GB2312" w:hAnsi="仿宋_GB2312" w:cs="仿宋_GB2312" w:hint="eastAsia"/>
          <w:sz w:val="32"/>
          <w:szCs w:val="32"/>
        </w:rPr>
        <w:t>十九大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精神，高举中国特色社会主义伟大旗帜，以马克思列宁主义、毛泽东思想、邓小平理论、“三个代表”重要思想、科学发展观</w:t>
      </w:r>
      <w:r>
        <w:rPr>
          <w:rFonts w:ascii="仿宋_GB2312" w:eastAsia="仿宋_GB2312" w:hAnsi="仿宋_GB2312" w:cs="仿宋_GB2312" w:hint="eastAsia"/>
          <w:sz w:val="32"/>
          <w:szCs w:val="32"/>
        </w:rPr>
        <w:t>、习近平新时代中国特色社会主义思想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为指导，结合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学院工匠育人具体实践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，推动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工匠文化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学术观点、科研方法和学科体系创新，着力推出有创新性的科学研究成果，以推进社会主义文化大发展大繁荣，同时大力服务于地方政治、经济与文化建设。</w:t>
      </w:r>
    </w:p>
    <w:p w:rsidR="00D62E71" w:rsidRPr="00EE13B4" w:rsidRDefault="00D62E71" w:rsidP="00D62E71">
      <w:pPr>
        <w:spacing w:after="0" w:line="600" w:lineRule="exact"/>
        <w:ind w:firstLineChars="200" w:firstLine="643"/>
        <w:rPr>
          <w:rFonts w:eastAsia="黑体"/>
          <w:b/>
          <w:bCs/>
          <w:color w:val="000000"/>
          <w:sz w:val="32"/>
          <w:szCs w:val="32"/>
        </w:rPr>
      </w:pPr>
      <w:r w:rsidRPr="00EE13B4">
        <w:rPr>
          <w:rFonts w:eastAsia="黑体" w:hint="eastAsia"/>
          <w:b/>
          <w:bCs/>
          <w:color w:val="000000"/>
          <w:sz w:val="32"/>
          <w:szCs w:val="32"/>
        </w:rPr>
        <w:t>二、申报类别</w:t>
      </w:r>
    </w:p>
    <w:p w:rsidR="00D62E71" w:rsidRPr="005B0654" w:rsidRDefault="00D62E71" w:rsidP="00D62E71">
      <w:pPr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B0654">
        <w:rPr>
          <w:rFonts w:ascii="仿宋_GB2312" w:eastAsia="仿宋_GB2312" w:hAnsi="仿宋_GB2312" w:cs="仿宋_GB2312" w:hint="eastAsia"/>
          <w:sz w:val="32"/>
          <w:szCs w:val="32"/>
        </w:rPr>
        <w:t>本次课题申报面向</w:t>
      </w:r>
      <w:r w:rsidR="00694A4E" w:rsidRPr="00045250">
        <w:rPr>
          <w:rFonts w:ascii="仿宋_GB2312" w:eastAsia="仿宋_GB2312" w:hAnsi="仿宋_GB2312" w:cs="仿宋_GB2312" w:hint="eastAsia"/>
          <w:sz w:val="32"/>
          <w:szCs w:val="32"/>
        </w:rPr>
        <w:t>各高校、</w:t>
      </w:r>
      <w:r w:rsidR="00694A4E" w:rsidRPr="00045250">
        <w:rPr>
          <w:rFonts w:ascii="仿宋_GB2312" w:eastAsia="仿宋_GB2312" w:hAnsi="仿宋_GB2312" w:cs="仿宋_GB2312"/>
          <w:sz w:val="32"/>
          <w:szCs w:val="32"/>
        </w:rPr>
        <w:t>科研院校教师和研究人员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，课题立项本着公平竞争、择优立项的原则。共设两类课题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重点课题和一般课题。重点课题每项资助额度不超过</w:t>
      </w:r>
      <w:r>
        <w:rPr>
          <w:rFonts w:ascii="仿宋_GB2312" w:eastAsia="仿宋_GB2312" w:hAnsi="仿宋_GB2312" w:cs="仿宋_GB2312"/>
          <w:sz w:val="32"/>
          <w:szCs w:val="32"/>
        </w:rPr>
        <w:t>8000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元，</w:t>
      </w:r>
      <w:proofErr w:type="gramStart"/>
      <w:r w:rsidRPr="005B0654">
        <w:rPr>
          <w:rFonts w:ascii="仿宋_GB2312" w:eastAsia="仿宋_GB2312" w:hAnsi="仿宋_GB2312" w:cs="仿宋_GB2312" w:hint="eastAsia"/>
          <w:sz w:val="32"/>
          <w:szCs w:val="32"/>
        </w:rPr>
        <w:t>一般课题</w:t>
      </w:r>
      <w:proofErr w:type="gramEnd"/>
      <w:r w:rsidRPr="005B0654">
        <w:rPr>
          <w:rFonts w:ascii="仿宋_GB2312" w:eastAsia="仿宋_GB2312" w:hAnsi="仿宋_GB2312" w:cs="仿宋_GB2312" w:hint="eastAsia"/>
          <w:sz w:val="32"/>
          <w:szCs w:val="32"/>
        </w:rPr>
        <w:t>每项资助额度不超过</w:t>
      </w:r>
      <w:r>
        <w:rPr>
          <w:rFonts w:ascii="仿宋_GB2312" w:eastAsia="仿宋_GB2312" w:hAnsi="仿宋_GB2312" w:cs="仿宋_GB2312"/>
          <w:sz w:val="32"/>
          <w:szCs w:val="32"/>
        </w:rPr>
        <w:t>2000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元。重点项目原则上为期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年，一般项目原则上为期</w:t>
      </w:r>
      <w:r w:rsidRPr="005B0654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年。课题申报人可按照</w:t>
      </w:r>
      <w:r w:rsidRPr="005B0654"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年度课题申报指南的选题范围拟定课题名称，也可根据自身研究方向自拟题目。</w:t>
      </w:r>
    </w:p>
    <w:p w:rsidR="00D62E71" w:rsidRPr="00EE13B4" w:rsidRDefault="00D62E71" w:rsidP="00D62E71">
      <w:pPr>
        <w:spacing w:after="0" w:line="600" w:lineRule="exact"/>
        <w:ind w:firstLineChars="200" w:firstLine="643"/>
        <w:rPr>
          <w:rFonts w:eastAsia="黑体"/>
          <w:b/>
          <w:bCs/>
          <w:color w:val="000000"/>
          <w:sz w:val="32"/>
          <w:szCs w:val="32"/>
        </w:rPr>
      </w:pPr>
      <w:r w:rsidRPr="00EE13B4">
        <w:rPr>
          <w:rFonts w:eastAsia="黑体" w:hint="eastAsia"/>
          <w:b/>
          <w:bCs/>
          <w:color w:val="000000"/>
          <w:sz w:val="32"/>
          <w:szCs w:val="32"/>
        </w:rPr>
        <w:t>三、课题申报条件及要求</w:t>
      </w:r>
    </w:p>
    <w:p w:rsidR="00D62E71" w:rsidRPr="005B0654" w:rsidRDefault="00D62E71" w:rsidP="00D62E71">
      <w:pPr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B0654">
        <w:rPr>
          <w:rFonts w:ascii="仿宋_GB2312" w:eastAsia="仿宋_GB2312" w:hAnsi="仿宋_GB2312" w:cs="仿宋_GB2312" w:hint="eastAsia"/>
          <w:sz w:val="32"/>
          <w:szCs w:val="32"/>
        </w:rPr>
        <w:t>（一）课题申请人须具备下列条件：遵守中华人民共和国宪法和法律；具有独立开展研究和组织开展研究的能力，能够承担实质性研究工作</w:t>
      </w:r>
      <w:r w:rsidR="00B02818"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D62E71" w:rsidRPr="005B0654" w:rsidRDefault="00D62E71" w:rsidP="00D62E71">
      <w:pPr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B0654">
        <w:rPr>
          <w:rFonts w:ascii="仿宋_GB2312" w:eastAsia="仿宋_GB2312" w:hAnsi="仿宋_GB2312" w:cs="仿宋_GB2312" w:hint="eastAsia"/>
          <w:sz w:val="32"/>
          <w:szCs w:val="32"/>
        </w:rPr>
        <w:t>（二）为确保申请人有足够的时间和精力从事课题研究，要求课题负责人同年度只能申报一项，且不能作为课题组成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员参与其他课题的申请；课题组成员同年度最多参与两项课题申请。</w:t>
      </w:r>
    </w:p>
    <w:p w:rsidR="00D62E71" w:rsidRPr="005B0654" w:rsidRDefault="00D62E71" w:rsidP="00D62E71">
      <w:pPr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B0654">
        <w:rPr>
          <w:rFonts w:ascii="仿宋_GB2312" w:eastAsia="仿宋_GB2312" w:hAnsi="仿宋_GB2312" w:cs="仿宋_GB2312" w:hint="eastAsia"/>
          <w:sz w:val="32"/>
          <w:szCs w:val="32"/>
        </w:rPr>
        <w:t>（三）申报课题须按照《</w:t>
      </w:r>
      <w:r>
        <w:rPr>
          <w:rFonts w:ascii="仿宋_GB2312" w:eastAsia="仿宋_GB2312" w:hAnsi="仿宋_GB2312" w:cs="仿宋_GB2312" w:hint="eastAsia"/>
          <w:sz w:val="32"/>
          <w:szCs w:val="32"/>
        </w:rPr>
        <w:t>成都市工匠文化研究中心课题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申请书》要求，如实填写材料，并保证没有知识产权争议。凡存在弄虚作假、抄袭剽窃等行为的，一经发现查实，取消三年申报资格；如获立项即予撤项并通报批评。</w:t>
      </w:r>
    </w:p>
    <w:p w:rsidR="00D62E71" w:rsidRPr="00D62E71" w:rsidRDefault="00D62E71" w:rsidP="00D62E71">
      <w:pPr>
        <w:spacing w:after="0" w:line="600" w:lineRule="exact"/>
        <w:ind w:firstLineChars="200" w:firstLine="643"/>
        <w:rPr>
          <w:rFonts w:eastAsia="黑体"/>
          <w:b/>
          <w:bCs/>
          <w:color w:val="000000"/>
          <w:sz w:val="32"/>
          <w:szCs w:val="32"/>
        </w:rPr>
      </w:pPr>
      <w:r w:rsidRPr="00D62E71">
        <w:rPr>
          <w:rFonts w:eastAsia="黑体" w:hint="eastAsia"/>
          <w:b/>
          <w:bCs/>
          <w:color w:val="000000"/>
          <w:sz w:val="32"/>
          <w:szCs w:val="32"/>
        </w:rPr>
        <w:t>四、项目成果管理</w:t>
      </w:r>
    </w:p>
    <w:p w:rsidR="00D62E71" w:rsidRPr="005B0654" w:rsidRDefault="00D62E71" w:rsidP="00343E60">
      <w:pPr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B0654">
        <w:rPr>
          <w:rFonts w:ascii="仿宋_GB2312" w:eastAsia="仿宋_GB2312" w:hAnsi="仿宋_GB2312" w:cs="仿宋_GB2312" w:hint="eastAsia"/>
          <w:sz w:val="32"/>
          <w:szCs w:val="32"/>
        </w:rPr>
        <w:t>（一）获准立项的《申请书》作为具有约束力的资助合同文本。课题负责人在项目研究期间要遵守相关承诺，履行约定义务，按期完成研究任务。</w:t>
      </w:r>
    </w:p>
    <w:p w:rsidR="00D62E71" w:rsidRPr="005B0654" w:rsidRDefault="00D62E71" w:rsidP="00343E60">
      <w:pPr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B0654">
        <w:rPr>
          <w:rFonts w:ascii="仿宋_GB2312" w:eastAsia="仿宋_GB2312" w:hAnsi="仿宋_GB2312" w:cs="仿宋_GB2312" w:hint="eastAsia"/>
          <w:sz w:val="32"/>
          <w:szCs w:val="32"/>
        </w:rPr>
        <w:t>（二）基础研究要力求具有原创性、创新性和较高的学术思想价值；应用研究要具有现实性、针对性和较强的决策参考价值，着力推出高水平的研究成果。</w:t>
      </w:r>
    </w:p>
    <w:p w:rsidR="00D62E71" w:rsidRDefault="00D62E71" w:rsidP="00343E60">
      <w:pPr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B0654">
        <w:rPr>
          <w:rFonts w:ascii="仿宋_GB2312" w:eastAsia="仿宋_GB2312" w:hAnsi="仿宋_GB2312" w:cs="仿宋_GB2312" w:hint="eastAsia"/>
          <w:sz w:val="32"/>
          <w:szCs w:val="32"/>
        </w:rPr>
        <w:t>（三）重点项目结题成果形式为</w:t>
      </w:r>
      <w:r>
        <w:rPr>
          <w:rFonts w:eastAsia="仿宋_GB2312" w:hint="eastAsia"/>
          <w:bCs/>
          <w:sz w:val="32"/>
          <w:szCs w:val="32"/>
        </w:rPr>
        <w:t>专著、</w:t>
      </w:r>
      <w:r>
        <w:rPr>
          <w:rFonts w:eastAsia="仿宋_GB2312"/>
          <w:bCs/>
          <w:sz w:val="32"/>
          <w:szCs w:val="32"/>
        </w:rPr>
        <w:t>论文、调研报告</w:t>
      </w:r>
      <w:r>
        <w:rPr>
          <w:rFonts w:eastAsia="仿宋_GB2312" w:hint="eastAsia"/>
          <w:bCs/>
          <w:sz w:val="32"/>
          <w:szCs w:val="32"/>
        </w:rPr>
        <w:t>。其中，专著必须公开出版；论文必须被核心期刊收录；调研报告必须有政府采用证明。</w:t>
      </w:r>
    </w:p>
    <w:p w:rsidR="00D62E71" w:rsidRDefault="00D62E71" w:rsidP="00343E60">
      <w:pPr>
        <w:spacing w:after="0" w:line="600" w:lineRule="exact"/>
        <w:ind w:firstLineChars="200" w:firstLine="640"/>
        <w:jc w:val="both"/>
        <w:outlineLvl w:val="0"/>
        <w:rPr>
          <w:rFonts w:eastAsia="仿宋_GB2312"/>
          <w:bCs/>
          <w:sz w:val="32"/>
          <w:szCs w:val="32"/>
        </w:rPr>
      </w:pPr>
      <w:r w:rsidRPr="005B0654">
        <w:rPr>
          <w:rFonts w:ascii="仿宋_GB2312" w:eastAsia="仿宋_GB2312" w:hAnsi="仿宋_GB2312" w:cs="仿宋_GB2312" w:hint="eastAsia"/>
          <w:sz w:val="32"/>
          <w:szCs w:val="32"/>
        </w:rPr>
        <w:t>一般项目的结题成果形式</w:t>
      </w:r>
      <w:r>
        <w:rPr>
          <w:rFonts w:eastAsia="仿宋_GB2312" w:hint="eastAsia"/>
          <w:bCs/>
          <w:sz w:val="32"/>
          <w:szCs w:val="32"/>
        </w:rPr>
        <w:t>验收成果可以为专著、</w:t>
      </w:r>
      <w:r>
        <w:rPr>
          <w:rFonts w:eastAsia="仿宋_GB2312"/>
          <w:bCs/>
          <w:sz w:val="32"/>
          <w:szCs w:val="32"/>
        </w:rPr>
        <w:t>论文、调研报告</w:t>
      </w:r>
      <w:r>
        <w:rPr>
          <w:rFonts w:eastAsia="仿宋_GB2312" w:hint="eastAsia"/>
          <w:bCs/>
          <w:sz w:val="32"/>
          <w:szCs w:val="32"/>
        </w:rPr>
        <w:t>，且</w:t>
      </w:r>
      <w:r>
        <w:rPr>
          <w:rFonts w:eastAsia="仿宋_GB2312"/>
          <w:bCs/>
          <w:sz w:val="32"/>
          <w:szCs w:val="32"/>
        </w:rPr>
        <w:t>必须公开出版</w:t>
      </w:r>
      <w:r>
        <w:rPr>
          <w:rFonts w:eastAsia="仿宋_GB2312" w:hint="eastAsia"/>
          <w:bCs/>
          <w:sz w:val="32"/>
          <w:szCs w:val="32"/>
        </w:rPr>
        <w:t>或发表</w:t>
      </w:r>
      <w:r>
        <w:rPr>
          <w:rFonts w:eastAsia="仿宋_GB2312"/>
          <w:bCs/>
          <w:sz w:val="32"/>
          <w:szCs w:val="32"/>
        </w:rPr>
        <w:t>。</w:t>
      </w:r>
    </w:p>
    <w:p w:rsidR="00D62E71" w:rsidRPr="005B0654" w:rsidRDefault="00D62E71" w:rsidP="00343E60">
      <w:pPr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B0654">
        <w:rPr>
          <w:rFonts w:ascii="仿宋_GB2312" w:eastAsia="仿宋_GB2312" w:hAnsi="仿宋_GB2312" w:cs="仿宋_GB2312" w:hint="eastAsia"/>
          <w:sz w:val="32"/>
          <w:szCs w:val="32"/>
        </w:rPr>
        <w:t>研究成果发表时需明确注明</w:t>
      </w:r>
      <w:r>
        <w:rPr>
          <w:rFonts w:ascii="仿宋_GB2312" w:eastAsia="仿宋_GB2312" w:hAnsi="仿宋_GB2312" w:cs="仿宋_GB2312" w:hint="eastAsia"/>
          <w:sz w:val="32"/>
          <w:szCs w:val="32"/>
        </w:rPr>
        <w:t>成都市工匠文化研究中心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资助字样并注明课题立项编号。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研究中心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组织专家对研究成果进行匿名评审和鉴定，评审和鉴定结论由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研究中心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予以公布。</w:t>
      </w:r>
    </w:p>
    <w:p w:rsidR="00D62E71" w:rsidRPr="005B0654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B065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（四）如项目不能按时结题而确需延期的，必须向</w:t>
      </w:r>
      <w:r>
        <w:rPr>
          <w:rFonts w:ascii="仿宋_GB2312" w:eastAsia="仿宋_GB2312" w:hAnsi="仿宋_GB2312" w:cs="仿宋_GB2312" w:hint="eastAsia"/>
          <w:sz w:val="32"/>
          <w:szCs w:val="32"/>
        </w:rPr>
        <w:t>成都市工匠文化研究中心</w:t>
      </w:r>
      <w:r w:rsidRPr="005B0654">
        <w:rPr>
          <w:rFonts w:ascii="仿宋_GB2312" w:eastAsia="仿宋_GB2312" w:hAnsi="仿宋_GB2312" w:cs="仿宋_GB2312" w:hint="eastAsia"/>
          <w:sz w:val="32"/>
          <w:szCs w:val="32"/>
        </w:rPr>
        <w:t>递交书面延期申请，待批准后方可延期结题。</w:t>
      </w:r>
    </w:p>
    <w:p w:rsidR="00D62E71" w:rsidRDefault="00D62E71" w:rsidP="00D62E71">
      <w:pPr>
        <w:spacing w:after="0" w:line="600" w:lineRule="exact"/>
        <w:ind w:firstLineChars="200" w:firstLine="643"/>
        <w:rPr>
          <w:rFonts w:eastAsia="黑体"/>
          <w:b/>
          <w:bCs/>
          <w:color w:val="000000"/>
          <w:sz w:val="32"/>
          <w:szCs w:val="32"/>
        </w:rPr>
      </w:pPr>
      <w:r>
        <w:rPr>
          <w:rFonts w:eastAsia="黑体"/>
          <w:b/>
          <w:bCs/>
          <w:color w:val="000000"/>
          <w:sz w:val="32"/>
          <w:szCs w:val="32"/>
        </w:rPr>
        <w:t>五</w:t>
      </w:r>
      <w:r>
        <w:rPr>
          <w:rFonts w:eastAsia="黑体" w:hint="eastAsia"/>
          <w:b/>
          <w:bCs/>
          <w:color w:val="000000"/>
          <w:sz w:val="32"/>
          <w:szCs w:val="32"/>
        </w:rPr>
        <w:t>、</w:t>
      </w:r>
      <w:r>
        <w:rPr>
          <w:rFonts w:eastAsia="黑体"/>
          <w:b/>
          <w:bCs/>
          <w:color w:val="000000"/>
          <w:sz w:val="32"/>
          <w:szCs w:val="32"/>
        </w:rPr>
        <w:t>课题选题</w:t>
      </w:r>
    </w:p>
    <w:p w:rsidR="00D62E71" w:rsidRPr="00D62E71" w:rsidRDefault="00D62E71" w:rsidP="00D62E71">
      <w:pPr>
        <w:spacing w:after="0" w:line="600" w:lineRule="exact"/>
        <w:ind w:firstLineChars="200" w:firstLine="640"/>
        <w:rPr>
          <w:rFonts w:ascii="Times New Roman" w:eastAsia="楷体" w:hAnsi="Times New Roman"/>
          <w:color w:val="000000"/>
          <w:sz w:val="32"/>
          <w:szCs w:val="32"/>
        </w:rPr>
      </w:pPr>
      <w:r w:rsidRPr="00D62E71">
        <w:rPr>
          <w:rFonts w:ascii="Times New Roman" w:eastAsia="楷体" w:hAnsi="Times New Roman" w:hint="eastAsia"/>
          <w:color w:val="000000"/>
          <w:sz w:val="32"/>
          <w:szCs w:val="32"/>
        </w:rPr>
        <w:t>（一）重点课题选题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1.工匠精神、工匠文化内涵研究与解读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2.工匠精神的当代价值及培育路径研究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3.天府工匠传播与弘扬研究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4.校企合作机制培养大学生工匠精神现状研究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5.校企合作模式下学生工匠精神培养路径的研究</w:t>
      </w:r>
    </w:p>
    <w:p w:rsidR="00D62E71" w:rsidRPr="00D62E71" w:rsidRDefault="00D62E71" w:rsidP="00D62E71">
      <w:pPr>
        <w:spacing w:after="0" w:line="600" w:lineRule="exact"/>
        <w:ind w:firstLineChars="200" w:firstLine="640"/>
        <w:rPr>
          <w:rFonts w:ascii="Times New Roman" w:eastAsia="楷体" w:hAnsi="Times New Roman"/>
          <w:color w:val="000000"/>
          <w:sz w:val="32"/>
          <w:szCs w:val="32"/>
        </w:rPr>
      </w:pPr>
      <w:r w:rsidRPr="00D62E71">
        <w:rPr>
          <w:rFonts w:ascii="Times New Roman" w:eastAsia="楷体" w:hAnsi="Times New Roman" w:hint="eastAsia"/>
          <w:color w:val="000000"/>
          <w:sz w:val="32"/>
          <w:szCs w:val="32"/>
        </w:rPr>
        <w:t>（二）</w:t>
      </w:r>
      <w:proofErr w:type="gramStart"/>
      <w:r w:rsidRPr="00D62E71">
        <w:rPr>
          <w:rFonts w:ascii="Times New Roman" w:eastAsia="楷体" w:hAnsi="Times New Roman" w:hint="eastAsia"/>
          <w:color w:val="000000"/>
          <w:sz w:val="32"/>
          <w:szCs w:val="32"/>
        </w:rPr>
        <w:t>一般课题</w:t>
      </w:r>
      <w:proofErr w:type="gramEnd"/>
      <w:r w:rsidRPr="00D62E71">
        <w:rPr>
          <w:rFonts w:ascii="Times New Roman" w:eastAsia="楷体" w:hAnsi="Times New Roman" w:hint="eastAsia"/>
          <w:color w:val="000000"/>
          <w:sz w:val="32"/>
          <w:szCs w:val="32"/>
        </w:rPr>
        <w:t>选题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1.工匠精神的历史传承研究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2.中国共产党弘扬工匠精神的历史演进与时代创新研究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3.国外工匠精神形成、发展与启示研究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4.古代天府工匠研究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5.近现代天府工匠研究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6.当代天府工匠研究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7.天府工匠文化事业与文化产业发展研究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8.工匠精神融入天府文化研究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9.工匠精神融入园区与企业文化建设研究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10.工匠精神融入高职校园文化建设研究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11.高职校企合作模式的分析与研究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lastRenderedPageBreak/>
        <w:t>12.高职校企合作现状及影响因素研究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13.企业参与高职校企合作人才培养影响因素的研究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14.职业教育校企合作相关政策研究</w:t>
      </w:r>
    </w:p>
    <w:p w:rsidR="00D62E71" w:rsidRDefault="00D62E71" w:rsidP="00D62E71">
      <w:pPr>
        <w:pStyle w:val="2"/>
        <w:widowControl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default"/>
          <w:b w:val="0"/>
          <w:color w:val="231815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color w:val="231815"/>
          <w:sz w:val="32"/>
          <w:szCs w:val="32"/>
        </w:rPr>
        <w:t>15.高职教育中培养大学生工匠精神的必要性与可行性研究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16.高职院校培养大学生工匠精神的理论基础研究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17.国外大学生工匠精神培育的经验与启示研究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18.高职院校培养大学生工匠精神现状研究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19.高职院校培养大学生工匠精神存在的问题及对策研究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20.校企合作机制培养大学生工匠精神的影响因素分析研究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21.工匠精神背景下校企合作模式与机制研究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22.基于工匠精神的校企协同实践教学运行机制研究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23.工匠精神视角下校企合作应用型人才培养的研究</w:t>
      </w:r>
    </w:p>
    <w:p w:rsid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24.基于校企合作高职院校工匠精神培养基地建设研究</w:t>
      </w:r>
    </w:p>
    <w:p w:rsidR="00677E10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25.工匠精神融入思想政治教育的价值与路径研究</w:t>
      </w:r>
    </w:p>
    <w:p w:rsidR="00CC709C" w:rsidRDefault="00CC709C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/>
          <w:color w:val="231815"/>
          <w:sz w:val="32"/>
          <w:szCs w:val="32"/>
        </w:rPr>
        <w:t>26.</w:t>
      </w: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高职院校工匠</w:t>
      </w:r>
      <w:r>
        <w:rPr>
          <w:rFonts w:ascii="仿宋_GB2312" w:eastAsia="仿宋_GB2312" w:hAnsi="仿宋_GB2312" w:cs="仿宋_GB2312"/>
          <w:color w:val="231815"/>
          <w:sz w:val="32"/>
          <w:szCs w:val="32"/>
        </w:rPr>
        <w:t>文化</w:t>
      </w: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引领</w:t>
      </w:r>
      <w:r>
        <w:rPr>
          <w:rFonts w:ascii="仿宋_GB2312" w:eastAsia="仿宋_GB2312" w:hAnsi="仿宋_GB2312" w:cs="仿宋_GB2312"/>
          <w:color w:val="231815"/>
          <w:sz w:val="32"/>
          <w:szCs w:val="32"/>
        </w:rPr>
        <w:t>学生成长体系</w:t>
      </w: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构建</w:t>
      </w:r>
      <w:r>
        <w:rPr>
          <w:rFonts w:ascii="仿宋_GB2312" w:eastAsia="仿宋_GB2312" w:hAnsi="仿宋_GB2312" w:cs="仿宋_GB2312"/>
          <w:color w:val="231815"/>
          <w:sz w:val="32"/>
          <w:szCs w:val="32"/>
        </w:rPr>
        <w:t>研究</w:t>
      </w:r>
    </w:p>
    <w:p w:rsidR="00CC709C" w:rsidRPr="00CC709C" w:rsidRDefault="00CC709C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  <w:r>
        <w:rPr>
          <w:rFonts w:ascii="仿宋_GB2312" w:eastAsia="仿宋_GB2312" w:hAnsi="仿宋_GB2312" w:cs="仿宋_GB2312"/>
          <w:color w:val="231815"/>
          <w:sz w:val="32"/>
          <w:szCs w:val="32"/>
        </w:rPr>
        <w:t>27.</w:t>
      </w: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高职院校工匠</w:t>
      </w:r>
      <w:r>
        <w:rPr>
          <w:rFonts w:ascii="仿宋_GB2312" w:eastAsia="仿宋_GB2312" w:hAnsi="仿宋_GB2312" w:cs="仿宋_GB2312"/>
          <w:color w:val="231815"/>
          <w:sz w:val="32"/>
          <w:szCs w:val="32"/>
        </w:rPr>
        <w:t>文化</w:t>
      </w: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培育提升学生</w:t>
      </w:r>
      <w:r>
        <w:rPr>
          <w:rFonts w:ascii="仿宋_GB2312" w:eastAsia="仿宋_GB2312" w:hAnsi="仿宋_GB2312" w:cs="仿宋_GB2312"/>
          <w:color w:val="231815"/>
          <w:sz w:val="32"/>
          <w:szCs w:val="32"/>
        </w:rPr>
        <w:t>职业能力素质</w:t>
      </w:r>
      <w:r>
        <w:rPr>
          <w:rFonts w:ascii="仿宋_GB2312" w:eastAsia="仿宋_GB2312" w:hAnsi="仿宋_GB2312" w:cs="仿宋_GB2312" w:hint="eastAsia"/>
          <w:color w:val="231815"/>
          <w:sz w:val="32"/>
          <w:szCs w:val="32"/>
        </w:rPr>
        <w:t>研究</w:t>
      </w:r>
    </w:p>
    <w:p w:rsidR="00D62E71" w:rsidRPr="00D62E71" w:rsidRDefault="00D62E71" w:rsidP="00D62E71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231815"/>
          <w:sz w:val="32"/>
          <w:szCs w:val="32"/>
        </w:rPr>
      </w:pPr>
    </w:p>
    <w:sectPr w:rsidR="00D62E71" w:rsidRPr="00D62E71" w:rsidSect="00463A7E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FF" w:rsidRDefault="00E248FF" w:rsidP="00463A7E">
      <w:pPr>
        <w:spacing w:after="0"/>
      </w:pPr>
      <w:r>
        <w:separator/>
      </w:r>
    </w:p>
  </w:endnote>
  <w:endnote w:type="continuationSeparator" w:id="0">
    <w:p w:rsidR="00E248FF" w:rsidRDefault="00E248FF" w:rsidP="00463A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4C" w:rsidRDefault="006362B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 xml:space="preserve"> </w:t>
    </w:r>
    <w:r>
      <w:fldChar w:fldCharType="end"/>
    </w:r>
  </w:p>
  <w:p w:rsidR="0016094C" w:rsidRDefault="00B028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7E" w:rsidRDefault="00463A7E">
    <w:pPr>
      <w:pStyle w:val="a3"/>
      <w:jc w:val="center"/>
    </w:pPr>
  </w:p>
  <w:p w:rsidR="00463A7E" w:rsidRDefault="00463A7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18378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30"/>
        <w:szCs w:val="30"/>
      </w:rPr>
    </w:sdtEndPr>
    <w:sdtContent>
      <w:p w:rsidR="00463A7E" w:rsidRPr="00463A7E" w:rsidRDefault="00463A7E" w:rsidP="00463A7E">
        <w:pPr>
          <w:pStyle w:val="a3"/>
          <w:jc w:val="center"/>
          <w:rPr>
            <w:rFonts w:asciiTheme="minorEastAsia" w:eastAsiaTheme="minorEastAsia" w:hAnsiTheme="minorEastAsia"/>
            <w:sz w:val="30"/>
            <w:szCs w:val="30"/>
          </w:rPr>
        </w:pPr>
        <w:r w:rsidRPr="00463A7E">
          <w:rPr>
            <w:rFonts w:asciiTheme="minorEastAsia" w:eastAsiaTheme="minorEastAsia" w:hAnsiTheme="minorEastAsia"/>
            <w:sz w:val="30"/>
            <w:szCs w:val="30"/>
          </w:rPr>
          <w:fldChar w:fldCharType="begin"/>
        </w:r>
        <w:r w:rsidRPr="00463A7E">
          <w:rPr>
            <w:rFonts w:asciiTheme="minorEastAsia" w:eastAsiaTheme="minorEastAsia" w:hAnsiTheme="minorEastAsia"/>
            <w:sz w:val="30"/>
            <w:szCs w:val="30"/>
          </w:rPr>
          <w:instrText>PAGE   \* MERGEFORMAT</w:instrText>
        </w:r>
        <w:r w:rsidRPr="00463A7E">
          <w:rPr>
            <w:rFonts w:asciiTheme="minorEastAsia" w:eastAsiaTheme="minorEastAsia" w:hAnsiTheme="minorEastAsia"/>
            <w:sz w:val="30"/>
            <w:szCs w:val="30"/>
          </w:rPr>
          <w:fldChar w:fldCharType="separate"/>
        </w:r>
        <w:r w:rsidR="00B02818" w:rsidRPr="00B02818">
          <w:rPr>
            <w:rFonts w:asciiTheme="minorEastAsia" w:eastAsiaTheme="minorEastAsia" w:hAnsiTheme="minorEastAsia"/>
            <w:noProof/>
            <w:sz w:val="30"/>
            <w:szCs w:val="30"/>
            <w:lang w:val="zh-CN"/>
          </w:rPr>
          <w:t>-</w:t>
        </w:r>
        <w:r w:rsidR="00B02818">
          <w:rPr>
            <w:rFonts w:asciiTheme="minorEastAsia" w:eastAsiaTheme="minorEastAsia" w:hAnsiTheme="minorEastAsia"/>
            <w:noProof/>
            <w:sz w:val="30"/>
            <w:szCs w:val="30"/>
          </w:rPr>
          <w:t xml:space="preserve"> 1 -</w:t>
        </w:r>
        <w:r w:rsidRPr="00463A7E">
          <w:rPr>
            <w:rFonts w:asciiTheme="minorEastAsia" w:eastAsiaTheme="minorEastAsia" w:hAnsiTheme="minorEastAsia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FF" w:rsidRDefault="00E248FF" w:rsidP="00463A7E">
      <w:pPr>
        <w:spacing w:after="0"/>
      </w:pPr>
      <w:r>
        <w:separator/>
      </w:r>
    </w:p>
  </w:footnote>
  <w:footnote w:type="continuationSeparator" w:id="0">
    <w:p w:rsidR="00E248FF" w:rsidRDefault="00E248FF" w:rsidP="00463A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71"/>
    <w:rsid w:val="00343E60"/>
    <w:rsid w:val="00463A7E"/>
    <w:rsid w:val="006362B5"/>
    <w:rsid w:val="00677E10"/>
    <w:rsid w:val="00694A4E"/>
    <w:rsid w:val="00A51AE2"/>
    <w:rsid w:val="00B02818"/>
    <w:rsid w:val="00CC709C"/>
    <w:rsid w:val="00D62E71"/>
    <w:rsid w:val="00E248FF"/>
    <w:rsid w:val="00E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B663A01-8EE3-4958-BEF0-7F4FB63E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7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2">
    <w:name w:val="heading 2"/>
    <w:basedOn w:val="a"/>
    <w:next w:val="a"/>
    <w:link w:val="2Char"/>
    <w:qFormat/>
    <w:rsid w:val="00D62E71"/>
    <w:pPr>
      <w:widowControl w:val="0"/>
      <w:adjustRightInd/>
      <w:snapToGrid/>
      <w:spacing w:before="100" w:beforeAutospacing="1" w:after="100" w:afterAutospacing="1"/>
      <w:outlineLvl w:val="1"/>
    </w:pPr>
    <w:rPr>
      <w:rFonts w:ascii="宋体" w:eastAsia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62E71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footer"/>
    <w:basedOn w:val="a"/>
    <w:link w:val="Char"/>
    <w:uiPriority w:val="99"/>
    <w:rsid w:val="00D62E71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D62E71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D62E71"/>
  </w:style>
  <w:style w:type="paragraph" w:styleId="a5">
    <w:name w:val="header"/>
    <w:basedOn w:val="a"/>
    <w:link w:val="Char0"/>
    <w:uiPriority w:val="99"/>
    <w:unhideWhenUsed/>
    <w:rsid w:val="00463A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3A7E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C70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709C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dell-666</dc:creator>
  <cp:keywords/>
  <dc:description/>
  <cp:lastModifiedBy>dell-666</cp:lastModifiedBy>
  <cp:revision>5</cp:revision>
  <cp:lastPrinted>2018-11-09T06:01:00Z</cp:lastPrinted>
  <dcterms:created xsi:type="dcterms:W3CDTF">2018-11-08T14:14:00Z</dcterms:created>
  <dcterms:modified xsi:type="dcterms:W3CDTF">2018-11-12T12:16:00Z</dcterms:modified>
</cp:coreProperties>
</file>